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Override PartName="/docProps/custom.xml" ContentType="application/vnd.openxmlformats-officedocument.custom-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p>
      <w:pPr>
        <w:spacing w:after="0"/>
        <w:rPr>
          <w:sz w:val="24"/>
          <w:szCs w:val="24"/>
          <w:color w:val="auto"/>
        </w:rPr>
      </w:pPr>
      <w:r>
        <w:rPr>
          <w:sz w:val="24"/>
          <w:szCs w:val="24"/>
          <w:color w:val="auto"/>
        </w:rPr>
        <w:drawing>
          <wp:anchor simplePos="0" relativeHeight="251657728" behindDoc="1" locked="0" layoutInCell="0" allowOverlap="1">
            <wp:simplePos x="0" y="0"/>
            <wp:positionH relativeFrom="page">
              <wp:posOffset>1080770</wp:posOffset>
            </wp:positionH>
            <wp:positionV relativeFrom="page">
              <wp:posOffset>719455</wp:posOffset>
            </wp:positionV>
            <wp:extent cx="6242050" cy="95796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extLst>
                    </a:blip>
                    <a:srcRect/>
                    <a:stretch>
                      <a:fillRect/>
                    </a:stretch>
                  </pic:blipFill>
                  <pic:spPr bwMode="auto">
                    <a:xfrm>
                      <a:off x="0" y="0"/>
                      <a:ext cx="6242050" cy="9579610"/>
                    </a:xfrm>
                    <a:prstGeom prst="rect">
                      <a:avLst/>
                    </a:prstGeom>
                    <a:noFill/>
                  </pic:spPr>
                </pic:pic>
              </a:graphicData>
            </a:graphic>
          </wp:anchor>
        </w:drawing>
      </w:r>
    </w:p>
    <w:p>
      <w:pPr>
        <w:sectPr>
          <w:pgSz w:w="11900" w:h="16838" w:orient="portrait"/>
          <w:cols w:equalWidth="1" w:num="1" w:space="0"/>
          <w:pgMar w:left="1440" w:top="1440" w:right="1440" w:bottom="875" w:gutter="0" w:footer="0" w:header="0"/>
        </w:sectPr>
      </w:pPr>
    </w:p>
    <w:p>
      <w:pPr>
        <w:jc w:val="both"/>
        <w:ind w:left="260"/>
        <w:spacing w:after="0" w:line="234" w:lineRule="auto"/>
        <w:rPr>
          <w:sz w:val="20"/>
          <w:szCs w:val="20"/>
          <w:color w:val="auto"/>
        </w:rPr>
      </w:pPr>
      <w:r>
        <w:rPr>
          <w:rFonts w:ascii="Times New Roman" w:cs="Times New Roman" w:eastAsia="Times New Roman" w:hAnsi="Times New Roman"/>
          <w:sz w:val="24"/>
          <w:szCs w:val="24"/>
          <w:color w:val="auto"/>
        </w:rPr>
        <w:t>Нижегородского государственного педагогического университета имени Козьмы Минина на 2018-2023 годы.</w:t>
      </w:r>
    </w:p>
    <w:p>
      <w:pPr>
        <w:spacing w:after="0" w:line="14" w:lineRule="exact"/>
        <w:rPr>
          <w:sz w:val="20"/>
          <w:szCs w:val="20"/>
          <w:color w:val="auto"/>
        </w:rPr>
      </w:pPr>
    </w:p>
    <w:p>
      <w:pPr>
        <w:jc w:val="both"/>
        <w:ind w:left="260" w:firstLine="708"/>
        <w:spacing w:after="0" w:line="236" w:lineRule="auto"/>
        <w:rPr>
          <w:sz w:val="20"/>
          <w:szCs w:val="20"/>
          <w:color w:val="auto"/>
        </w:rPr>
      </w:pPr>
      <w:r>
        <w:rPr>
          <w:rFonts w:ascii="Times New Roman" w:cs="Times New Roman" w:eastAsia="Times New Roman" w:hAnsi="Times New Roman"/>
          <w:sz w:val="24"/>
          <w:szCs w:val="24"/>
          <w:color w:val="auto"/>
        </w:rPr>
        <w:t>Общий стратегический подход к социально-воспитательной деятельности в вузе ориентирован на реализацию личностных способностей обучающихся в различных видах деятельности, творчестве.</w:t>
      </w:r>
    </w:p>
    <w:p>
      <w:pPr>
        <w:spacing w:after="0" w:line="14" w:lineRule="exact"/>
        <w:rPr>
          <w:sz w:val="20"/>
          <w:szCs w:val="20"/>
          <w:color w:val="auto"/>
        </w:rPr>
      </w:pPr>
    </w:p>
    <w:p>
      <w:pPr>
        <w:jc w:val="both"/>
        <w:ind w:left="260" w:firstLine="708"/>
        <w:spacing w:after="0" w:line="237" w:lineRule="auto"/>
        <w:rPr>
          <w:sz w:val="20"/>
          <w:szCs w:val="20"/>
          <w:color w:val="auto"/>
        </w:rPr>
      </w:pPr>
      <w:r>
        <w:rPr>
          <w:rFonts w:ascii="Times New Roman" w:cs="Times New Roman" w:eastAsia="Times New Roman" w:hAnsi="Times New Roman"/>
          <w:sz w:val="24"/>
          <w:szCs w:val="24"/>
          <w:color w:val="auto"/>
        </w:rPr>
        <w:t>Воспитательная миссия Мининского университета – создание условий для развития профессиональной компетентности обучающихся, их духовно-нравственного и культурного развития, гражданского становления, обогащения личностного и профессионального опыта созидательного решения общественных и личностных проблем,</w:t>
      </w:r>
    </w:p>
    <w:p>
      <w:pPr>
        <w:spacing w:after="0" w:line="14" w:lineRule="exact"/>
        <w:rPr>
          <w:sz w:val="20"/>
          <w:szCs w:val="20"/>
          <w:color w:val="auto"/>
        </w:rPr>
      </w:pPr>
    </w:p>
    <w:p>
      <w:pPr>
        <w:jc w:val="both"/>
        <w:ind w:left="260" w:right="20" w:firstLine="2"/>
        <w:spacing w:after="0" w:line="236" w:lineRule="auto"/>
        <w:tabs>
          <w:tab w:leader="none" w:pos="442" w:val="left"/>
        </w:tabs>
        <w:numPr>
          <w:ilvl w:val="0"/>
          <w:numId w:val="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также условий для содействия социальной и творческой самореализации обучающихся, для приобщения их к здоровому образу жизни, для формирования у них чувства гордости за то, что они обучаются в Мининском университете.</w:t>
      </w:r>
    </w:p>
    <w:p>
      <w:pPr>
        <w:spacing w:after="0" w:line="13" w:lineRule="exact"/>
        <w:rPr>
          <w:rFonts w:ascii="Times New Roman" w:cs="Times New Roman" w:eastAsia="Times New Roman" w:hAnsi="Times New Roman"/>
          <w:sz w:val="24"/>
          <w:szCs w:val="24"/>
          <w:color w:val="auto"/>
        </w:rPr>
      </w:pPr>
    </w:p>
    <w:p>
      <w:pPr>
        <w:jc w:val="both"/>
        <w:ind w:left="260" w:firstLine="708"/>
        <w:spacing w:after="0" w:line="238"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Основной целью воспитания обучающегося в НГПУ им. К. Минина является создание условий для социализации личности будущего конкурентоспособного специалиста с высшим образованием, обладающего интеллигентностью, социальной активностью, качествами гражданина-патриота и формирование базовой общей и профессиональной культуры в их единстве и взаимосвязи, развитие личностного потенциала обучающихся.</w:t>
      </w:r>
    </w:p>
    <w:p>
      <w:pPr>
        <w:spacing w:after="0" w:line="14" w:lineRule="exact"/>
        <w:rPr>
          <w:rFonts w:ascii="Times New Roman" w:cs="Times New Roman" w:eastAsia="Times New Roman" w:hAnsi="Times New Roman"/>
          <w:sz w:val="24"/>
          <w:szCs w:val="24"/>
          <w:color w:val="auto"/>
        </w:rPr>
      </w:pPr>
    </w:p>
    <w:p>
      <w:pPr>
        <w:ind w:left="260" w:right="20" w:firstLine="710"/>
        <w:spacing w:after="0" w:line="234" w:lineRule="auto"/>
        <w:tabs>
          <w:tab w:leader="none" w:pos="1345" w:val="left"/>
        </w:tabs>
        <w:numPr>
          <w:ilvl w:val="1"/>
          <w:numId w:val="1"/>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процессе реализации указанных ценностей воспитательная деятельность опирается на следующие принципы:</w:t>
      </w:r>
    </w:p>
    <w:p>
      <w:pPr>
        <w:spacing w:after="0" w:line="12" w:lineRule="exact"/>
        <w:rPr>
          <w:sz w:val="20"/>
          <w:szCs w:val="20"/>
          <w:color w:val="auto"/>
        </w:rPr>
      </w:pPr>
    </w:p>
    <w:p>
      <w:pPr>
        <w:jc w:val="both"/>
        <w:ind w:left="260" w:firstLine="708"/>
        <w:spacing w:after="0" w:line="237" w:lineRule="auto"/>
        <w:rPr>
          <w:sz w:val="20"/>
          <w:szCs w:val="20"/>
          <w:color w:val="auto"/>
        </w:rPr>
      </w:pPr>
      <w:r>
        <w:rPr>
          <w:sz w:val="1"/>
          <w:szCs w:val="1"/>
          <w:color w:val="auto"/>
        </w:rPr>
        <w:drawing>
          <wp:inline distT="0" distB="0" distL="0" distR="0">
            <wp:extent cx="237490" cy="133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поддержание и развитие социально-воспитательной деятельности на уровне соответствия требованиям стандартов качества образования, непрерывное обновление направлений социально-воспитательной деятельности, отвечающее требованиям и вызовам периода;</w:t>
      </w:r>
    </w:p>
    <w:p>
      <w:pPr>
        <w:spacing w:after="0" w:line="14" w:lineRule="exact"/>
        <w:rPr>
          <w:sz w:val="20"/>
          <w:szCs w:val="20"/>
          <w:color w:val="auto"/>
        </w:rPr>
      </w:pPr>
    </w:p>
    <w:p>
      <w:pPr>
        <w:jc w:val="both"/>
        <w:ind w:left="260" w:firstLine="708"/>
        <w:spacing w:after="0" w:line="235" w:lineRule="auto"/>
        <w:rPr>
          <w:sz w:val="20"/>
          <w:szCs w:val="20"/>
          <w:color w:val="auto"/>
        </w:rPr>
      </w:pPr>
      <w:r>
        <w:rPr>
          <w:sz w:val="1"/>
          <w:szCs w:val="1"/>
          <w:color w:val="auto"/>
        </w:rPr>
        <w:drawing>
          <wp:inline distT="0" distB="0" distL="0" distR="0">
            <wp:extent cx="237490" cy="13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опережающее развитие и интеграция социально-воспитательной деятельности с образовательным и научным процессом Университета;</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615950</wp:posOffset>
            </wp:positionH>
            <wp:positionV relativeFrom="paragraph">
              <wp:posOffset>7620</wp:posOffset>
            </wp:positionV>
            <wp:extent cx="237490" cy="1689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extLst>
                    </a:blip>
                    <a:srcRect/>
                    <a:stretch>
                      <a:fillRect/>
                    </a:stretch>
                  </pic:blipFill>
                  <pic:spPr bwMode="auto">
                    <a:xfrm>
                      <a:off x="0" y="0"/>
                      <a:ext cx="237490" cy="168910"/>
                    </a:xfrm>
                    <a:prstGeom prst="rect">
                      <a:avLst/>
                    </a:prstGeom>
                    <a:noFill/>
                  </pic:spPr>
                </pic:pic>
              </a:graphicData>
            </a:graphic>
          </wp:anchor>
        </w:drawing>
      </w:r>
    </w:p>
    <w:p>
      <w:pPr>
        <w:ind w:left="1680"/>
        <w:spacing w:after="0"/>
        <w:rPr>
          <w:sz w:val="20"/>
          <w:szCs w:val="20"/>
          <w:color w:val="auto"/>
        </w:rPr>
      </w:pPr>
      <w:r>
        <w:rPr>
          <w:rFonts w:ascii="Times New Roman" w:cs="Times New Roman" w:eastAsia="Times New Roman" w:hAnsi="Times New Roman"/>
          <w:sz w:val="24"/>
          <w:szCs w:val="24"/>
          <w:color w:val="auto"/>
        </w:rPr>
        <w:t>инновационность социально-воспитательной деятельности;</w:t>
      </w:r>
    </w:p>
    <w:p>
      <w:pPr>
        <w:spacing w:after="0" w:line="10" w:lineRule="exact"/>
        <w:rPr>
          <w:sz w:val="20"/>
          <w:szCs w:val="20"/>
          <w:color w:val="auto"/>
        </w:rPr>
      </w:pPr>
    </w:p>
    <w:p>
      <w:pPr>
        <w:jc w:val="both"/>
        <w:ind w:left="260" w:firstLine="708"/>
        <w:spacing w:after="0" w:line="237" w:lineRule="auto"/>
        <w:rPr>
          <w:sz w:val="20"/>
          <w:szCs w:val="20"/>
          <w:color w:val="auto"/>
        </w:rPr>
      </w:pPr>
      <w:r>
        <w:rPr>
          <w:sz w:val="1"/>
          <w:szCs w:val="1"/>
          <w:color w:val="auto"/>
        </w:rPr>
        <w:drawing>
          <wp:inline distT="0" distB="0" distL="0" distR="0">
            <wp:extent cx="23749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ориентированность на открытость и обеспечение широкой доступности нормативного и документационного обеспечения социально-воспитательной деятельности Университета;</w:t>
      </w:r>
    </w:p>
    <w:p>
      <w:pPr>
        <w:spacing w:after="0" w:line="10" w:lineRule="exact"/>
        <w:rPr>
          <w:sz w:val="20"/>
          <w:szCs w:val="20"/>
          <w:color w:val="auto"/>
        </w:rPr>
      </w:pPr>
    </w:p>
    <w:p>
      <w:pPr>
        <w:jc w:val="both"/>
        <w:ind w:left="260" w:firstLine="708"/>
        <w:spacing w:after="0" w:line="237" w:lineRule="auto"/>
        <w:rPr>
          <w:sz w:val="20"/>
          <w:szCs w:val="20"/>
          <w:color w:val="auto"/>
        </w:rPr>
      </w:pPr>
      <w:r>
        <w:rPr>
          <w:sz w:val="1"/>
          <w:szCs w:val="1"/>
          <w:color w:val="auto"/>
        </w:rPr>
        <w:drawing>
          <wp:inline distT="0" distB="0" distL="0" distR="0">
            <wp:extent cx="23749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формирование у обучающихся широкой гуманитарной и духовной культуры, высоких нравственных и патриотических идеалов, развитие академических и университетских свобод, поддержание высокого социального статуса Мининского университета;</w:t>
      </w:r>
    </w:p>
    <w:p>
      <w:pPr>
        <w:spacing w:after="0" w:line="14" w:lineRule="exact"/>
        <w:rPr>
          <w:sz w:val="20"/>
          <w:szCs w:val="20"/>
          <w:color w:val="auto"/>
        </w:rPr>
      </w:pPr>
    </w:p>
    <w:p>
      <w:pPr>
        <w:jc w:val="both"/>
        <w:ind w:left="260" w:firstLine="708"/>
        <w:spacing w:after="0" w:line="237" w:lineRule="auto"/>
        <w:rPr>
          <w:sz w:val="20"/>
          <w:szCs w:val="20"/>
          <w:color w:val="auto"/>
        </w:rPr>
      </w:pPr>
      <w:r>
        <w:rPr>
          <w:sz w:val="1"/>
          <w:szCs w:val="1"/>
          <w:color w:val="auto"/>
        </w:rPr>
        <w:drawing>
          <wp:inline distT="0" distB="0" distL="0" distR="0">
            <wp:extent cx="237490" cy="133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развитие социально-воспитательной деятельности Университета направлено на формирование у обучающихся (затем выпускников) Университета позиций интеллектуального, научного и образовательного лидерства в области получаемых ими знаний.</w:t>
      </w:r>
    </w:p>
    <w:p>
      <w:pPr>
        <w:spacing w:after="0" w:line="16" w:lineRule="exact"/>
        <w:rPr>
          <w:sz w:val="20"/>
          <w:szCs w:val="20"/>
          <w:color w:val="auto"/>
        </w:rPr>
      </w:pPr>
    </w:p>
    <w:p>
      <w:pPr>
        <w:jc w:val="both"/>
        <w:ind w:left="260" w:firstLine="708"/>
        <w:spacing w:after="0" w:line="234" w:lineRule="auto"/>
        <w:rPr>
          <w:sz w:val="20"/>
          <w:szCs w:val="20"/>
          <w:color w:val="auto"/>
        </w:rPr>
      </w:pPr>
      <w:r>
        <w:rPr>
          <w:rFonts w:ascii="Times New Roman" w:cs="Times New Roman" w:eastAsia="Times New Roman" w:hAnsi="Times New Roman"/>
          <w:sz w:val="24"/>
          <w:szCs w:val="24"/>
          <w:color w:val="auto"/>
        </w:rPr>
        <w:t>Приоритетными задачами воспитания обучающихся в НГПУ им. К.Минина являются:</w:t>
      </w:r>
    </w:p>
    <w:p>
      <w:pPr>
        <w:spacing w:after="0" w:line="12" w:lineRule="exact"/>
        <w:rPr>
          <w:sz w:val="20"/>
          <w:szCs w:val="20"/>
          <w:color w:val="auto"/>
        </w:rPr>
      </w:pPr>
    </w:p>
    <w:p>
      <w:pPr>
        <w:jc w:val="both"/>
        <w:ind w:left="260" w:firstLine="708"/>
        <w:spacing w:after="0" w:line="237" w:lineRule="auto"/>
        <w:rPr>
          <w:sz w:val="20"/>
          <w:szCs w:val="20"/>
          <w:color w:val="auto"/>
        </w:rPr>
      </w:pPr>
      <w:r>
        <w:rPr>
          <w:sz w:val="1"/>
          <w:szCs w:val="1"/>
          <w:color w:val="auto"/>
        </w:rPr>
        <w:drawing>
          <wp:inline distT="0" distB="0" distL="0" distR="0">
            <wp:extent cx="237490" cy="133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воспитание обучающихся как граждан правового, демократического государства, способных к созидательному решению личных и общественных проблем в условиях гражданского общества и быстро меняющегося мира;</w:t>
      </w:r>
    </w:p>
    <w:p>
      <w:pPr>
        <w:spacing w:after="0" w:line="10" w:lineRule="exact"/>
        <w:rPr>
          <w:sz w:val="20"/>
          <w:szCs w:val="20"/>
          <w:color w:val="auto"/>
        </w:rPr>
      </w:pPr>
    </w:p>
    <w:p>
      <w:pPr>
        <w:jc w:val="both"/>
        <w:ind w:left="260" w:firstLine="708"/>
        <w:spacing w:after="0" w:line="237" w:lineRule="auto"/>
        <w:rPr>
          <w:sz w:val="20"/>
          <w:szCs w:val="20"/>
          <w:color w:val="auto"/>
        </w:rPr>
      </w:pPr>
      <w:r>
        <w:rPr>
          <w:sz w:val="1"/>
          <w:szCs w:val="1"/>
          <w:color w:val="auto"/>
        </w:rPr>
        <w:drawing>
          <wp:inline distT="0" distB="0" distL="0" distR="0">
            <wp:extent cx="237490" cy="133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формирование менталитета российского гражданина и интеллигента: гражданственности, национального самосознания, патриотизма, уважения к закону, внутренней свободы и чувства собственного достоинства, потребности в благотворительной деятельности, в милосердии;</w:t>
      </w:r>
    </w:p>
    <w:p>
      <w:pPr>
        <w:spacing w:after="0" w:line="14" w:lineRule="exact"/>
        <w:rPr>
          <w:sz w:val="20"/>
          <w:szCs w:val="20"/>
          <w:color w:val="auto"/>
        </w:rPr>
      </w:pPr>
    </w:p>
    <w:p>
      <w:pPr>
        <w:jc w:val="both"/>
        <w:ind w:left="260" w:firstLine="708"/>
        <w:spacing w:after="0" w:line="237" w:lineRule="auto"/>
        <w:rPr>
          <w:sz w:val="20"/>
          <w:szCs w:val="20"/>
          <w:color w:val="auto"/>
        </w:rPr>
      </w:pPr>
      <w:r>
        <w:rPr>
          <w:sz w:val="1"/>
          <w:szCs w:val="1"/>
          <w:color w:val="auto"/>
        </w:rPr>
        <w:drawing>
          <wp:inline distT="0" distB="0" distL="0" distR="0">
            <wp:extent cx="237490" cy="1333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воспитание обучающихся как профессионально компетентных специалистов, способных решать профессиональные проблемы на основе гуманистических ценностей и ответственного нравственного выбора средств ее решения;</w:t>
      </w:r>
    </w:p>
    <w:p>
      <w:pPr>
        <w:sectPr>
          <w:pgSz w:w="11900" w:h="16838" w:orient="portrait"/>
          <w:cols w:equalWidth="0" w:num="1">
            <w:col w:w="9620"/>
          </w:cols>
          <w:pgMar w:left="1440" w:top="1135" w:right="846" w:bottom="1440" w:gutter="0" w:footer="0" w:header="0"/>
        </w:sectPr>
      </w:pPr>
    </w:p>
    <w:p>
      <w:pPr>
        <w:ind w:left="1680"/>
        <w:spacing w:after="0"/>
        <w:rPr>
          <w:sz w:val="20"/>
          <w:szCs w:val="20"/>
          <w:color w:val="auto"/>
        </w:rPr>
      </w:pPr>
      <w:r>
        <w:rPr>
          <w:rFonts w:ascii="Times New Roman" w:cs="Times New Roman" w:eastAsia="Times New Roman" w:hAnsi="Times New Roman"/>
          <w:sz w:val="24"/>
          <w:szCs w:val="24"/>
          <w:color w:val="auto"/>
        </w:rPr>
        <w:drawing>
          <wp:anchor simplePos="0" relativeHeight="251657728" behindDoc="1" locked="0" layoutInCell="0" allowOverlap="1">
            <wp:simplePos x="0" y="0"/>
            <wp:positionH relativeFrom="page">
              <wp:posOffset>1530350</wp:posOffset>
            </wp:positionH>
            <wp:positionV relativeFrom="page">
              <wp:posOffset>719455</wp:posOffset>
            </wp:positionV>
            <wp:extent cx="237490" cy="16891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clrChange>
                        <a:clrFrom>
                          <a:srgbClr val="FFFFFF"/>
                        </a:clrFrom>
                        <a:clrTo>
                          <a:srgbClr val="FFFFFF">
                            <a:alpha val="0"/>
                          </a:srgbClr>
                        </a:clrTo>
                      </a:clrChange>
                      <a:extLst>
                        <a:ext uri="{28A0092B-C50C-407E-A947-70E740481C1C}"/>
                      </a:extLst>
                    </a:blip>
                    <a:srcRect/>
                    <a:stretch>
                      <a:fillRect/>
                    </a:stretch>
                  </pic:blipFill>
                  <pic:spPr bwMode="auto">
                    <a:xfrm>
                      <a:off x="0" y="0"/>
                      <a:ext cx="237490" cy="168910"/>
                    </a:xfrm>
                    <a:prstGeom prst="rect">
                      <a:avLst/>
                    </a:prstGeom>
                    <a:noFill/>
                  </pic:spPr>
                </pic:pic>
              </a:graphicData>
            </a:graphic>
          </wp:anchor>
        </w:drawing>
        <w:t>воспитание потребности к труду как первой жизненной необходимости и</w:t>
      </w:r>
    </w:p>
    <w:p>
      <w:pPr>
        <w:spacing w:after="0" w:line="12" w:lineRule="exact"/>
        <w:rPr>
          <w:sz w:val="20"/>
          <w:szCs w:val="20"/>
          <w:color w:val="auto"/>
        </w:rPr>
      </w:pPr>
    </w:p>
    <w:p>
      <w:pPr>
        <w:jc w:val="both"/>
        <w:ind w:left="260"/>
        <w:spacing w:after="0" w:line="234" w:lineRule="auto"/>
        <w:rPr>
          <w:sz w:val="20"/>
          <w:szCs w:val="20"/>
          <w:color w:val="auto"/>
        </w:rPr>
      </w:pPr>
      <w:r>
        <w:rPr>
          <w:rFonts w:ascii="Times New Roman" w:cs="Times New Roman" w:eastAsia="Times New Roman" w:hAnsi="Times New Roman"/>
          <w:sz w:val="24"/>
          <w:szCs w:val="24"/>
          <w:color w:val="auto"/>
        </w:rPr>
        <w:t>важной жизненной ценности, целеустремленности и предприимчивости, конкурентоспособности во всех сферах жизнедеятельности;</w:t>
      </w:r>
    </w:p>
    <w:p>
      <w:pPr>
        <w:spacing w:after="0" w:line="12" w:lineRule="exact"/>
        <w:rPr>
          <w:sz w:val="20"/>
          <w:szCs w:val="20"/>
          <w:color w:val="auto"/>
        </w:rPr>
      </w:pPr>
    </w:p>
    <w:p>
      <w:pPr>
        <w:jc w:val="both"/>
        <w:ind w:left="260" w:firstLine="708"/>
        <w:spacing w:after="0" w:line="235" w:lineRule="auto"/>
        <w:rPr>
          <w:sz w:val="20"/>
          <w:szCs w:val="20"/>
          <w:color w:val="auto"/>
        </w:rPr>
      </w:pPr>
      <w:r>
        <w:rPr>
          <w:sz w:val="1"/>
          <w:szCs w:val="1"/>
          <w:color w:val="auto"/>
        </w:rPr>
        <w:drawing>
          <wp:inline distT="0" distB="0" distL="0" distR="0">
            <wp:extent cx="237490" cy="133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воспитание потребности в здоровом образе жизни, укреплении душевного и физического здоровья;</w:t>
      </w:r>
    </w:p>
    <w:p>
      <w:pPr>
        <w:spacing w:after="0" w:line="12" w:lineRule="exact"/>
        <w:rPr>
          <w:sz w:val="20"/>
          <w:szCs w:val="20"/>
          <w:color w:val="auto"/>
        </w:rPr>
      </w:pPr>
    </w:p>
    <w:p>
      <w:pPr>
        <w:jc w:val="both"/>
        <w:ind w:left="260" w:firstLine="708"/>
        <w:spacing w:after="0" w:line="235" w:lineRule="auto"/>
        <w:rPr>
          <w:sz w:val="20"/>
          <w:szCs w:val="20"/>
          <w:color w:val="auto"/>
        </w:rPr>
      </w:pPr>
      <w:r>
        <w:rPr>
          <w:sz w:val="1"/>
          <w:szCs w:val="1"/>
          <w:color w:val="auto"/>
        </w:rPr>
        <w:drawing>
          <wp:inline distT="0" distB="0" distL="0" distR="0">
            <wp:extent cx="237490" cy="133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повышение уровня компетентности в принятии решений, в последовательном и ответственном осуществлении своих целей;</w:t>
      </w:r>
    </w:p>
    <w:p>
      <w:pPr>
        <w:spacing w:after="0" w:line="12" w:lineRule="exact"/>
        <w:rPr>
          <w:sz w:val="20"/>
          <w:szCs w:val="20"/>
          <w:color w:val="auto"/>
        </w:rPr>
      </w:pPr>
    </w:p>
    <w:p>
      <w:pPr>
        <w:jc w:val="both"/>
        <w:ind w:left="260" w:firstLine="708"/>
        <w:spacing w:after="0" w:line="235" w:lineRule="auto"/>
        <w:rPr>
          <w:sz w:val="20"/>
          <w:szCs w:val="20"/>
          <w:color w:val="auto"/>
        </w:rPr>
      </w:pPr>
      <w:r>
        <w:rPr>
          <w:sz w:val="1"/>
          <w:szCs w:val="1"/>
          <w:color w:val="auto"/>
        </w:rPr>
        <w:drawing>
          <wp:inline distT="0" distB="0" distL="0" distR="0">
            <wp:extent cx="237490" cy="133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extLst>
                    </a:blip>
                    <a:srcRect/>
                    <a:stretch>
                      <a:fillRect/>
                    </a:stretch>
                  </pic:blipFill>
                  <pic:spPr bwMode="auto">
                    <a:xfrm>
                      <a:off x="0" y="0"/>
                      <a:ext cx="237490" cy="133350"/>
                    </a:xfrm>
                    <a:prstGeom prst="rect">
                      <a:avLst/>
                    </a:prstGeom>
                    <a:noFill/>
                    <a:ln>
                      <a:noFill/>
                    </a:ln>
                  </pic:spPr>
                </pic:pic>
              </a:graphicData>
            </a:graphic>
          </wp:inline>
        </w:drawing>
      </w:r>
      <w:r>
        <w:rPr>
          <w:rFonts w:ascii="Times New Roman" w:cs="Times New Roman" w:eastAsia="Times New Roman" w:hAnsi="Times New Roman"/>
          <w:sz w:val="24"/>
          <w:szCs w:val="24"/>
          <w:color w:val="auto"/>
        </w:rPr>
        <w:t xml:space="preserve"> противодействие негативным социальным процессам в молодежной среде, вытеснение проявлений асоциального поведения обучающихся.</w:t>
      </w:r>
    </w:p>
    <w:p>
      <w:pPr>
        <w:spacing w:after="0" w:line="2"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4"/>
          <w:szCs w:val="24"/>
          <w:color w:val="auto"/>
        </w:rPr>
        <w:t>Важнейшими  характеристиками  среды  Университета,  обеспечивающей  развитие</w:t>
      </w:r>
    </w:p>
    <w:p>
      <w:pPr>
        <w:spacing w:after="0" w:line="12" w:lineRule="exact"/>
        <w:rPr>
          <w:sz w:val="20"/>
          <w:szCs w:val="20"/>
          <w:color w:val="auto"/>
        </w:rPr>
      </w:pPr>
    </w:p>
    <w:p>
      <w:pPr>
        <w:jc w:val="both"/>
        <w:ind w:left="260"/>
        <w:spacing w:after="0" w:line="237" w:lineRule="auto"/>
        <w:rPr>
          <w:sz w:val="20"/>
          <w:szCs w:val="20"/>
          <w:color w:val="auto"/>
        </w:rPr>
      </w:pPr>
      <w:r>
        <w:rPr>
          <w:rFonts w:ascii="Times New Roman" w:cs="Times New Roman" w:eastAsia="Times New Roman" w:hAnsi="Times New Roman"/>
          <w:sz w:val="24"/>
          <w:szCs w:val="24"/>
          <w:color w:val="auto"/>
        </w:rPr>
        <w:t>общекультурных компетенций, являются: открытость, интерактивность, многоаспектность, универсальность, обширность, интенсивность, целостность, избыточность, продуктивность, событийность, креативность, способствующие опережающему, восходящему развитию Университета, реализации личностного потенциала обучающихся и их непрерывного образования.</w:t>
      </w:r>
    </w:p>
    <w:p>
      <w:pPr>
        <w:spacing w:after="0" w:line="18" w:lineRule="exact"/>
        <w:rPr>
          <w:sz w:val="20"/>
          <w:szCs w:val="20"/>
          <w:color w:val="auto"/>
        </w:rPr>
      </w:pPr>
    </w:p>
    <w:p>
      <w:pPr>
        <w:jc w:val="both"/>
        <w:ind w:left="260" w:firstLine="708"/>
        <w:spacing w:after="0" w:line="237" w:lineRule="auto"/>
        <w:rPr>
          <w:sz w:val="20"/>
          <w:szCs w:val="20"/>
          <w:color w:val="auto"/>
        </w:rPr>
      </w:pPr>
      <w:r>
        <w:rPr>
          <w:rFonts w:ascii="Times New Roman" w:cs="Times New Roman" w:eastAsia="Times New Roman" w:hAnsi="Times New Roman"/>
          <w:sz w:val="24"/>
          <w:szCs w:val="24"/>
          <w:color w:val="auto"/>
        </w:rPr>
        <w:t>Механизм реализации стратегии социально-воспитательной деятельности Университета подробно изложен в ежегодном плане работы отдела по сетевому сотрудничеству и социальному партнерству, а также в ряде положений о студенческих объединениях.</w:t>
      </w:r>
    </w:p>
    <w:p>
      <w:pPr>
        <w:spacing w:after="0" w:line="14" w:lineRule="exact"/>
        <w:rPr>
          <w:sz w:val="20"/>
          <w:szCs w:val="20"/>
          <w:color w:val="auto"/>
        </w:rPr>
      </w:pPr>
    </w:p>
    <w:p>
      <w:pPr>
        <w:jc w:val="both"/>
        <w:ind w:left="260" w:firstLine="708"/>
        <w:spacing w:after="0" w:line="234" w:lineRule="auto"/>
        <w:rPr>
          <w:sz w:val="20"/>
          <w:szCs w:val="20"/>
          <w:color w:val="auto"/>
        </w:rPr>
      </w:pPr>
      <w:r>
        <w:rPr>
          <w:rFonts w:ascii="Times New Roman" w:cs="Times New Roman" w:eastAsia="Times New Roman" w:hAnsi="Times New Roman"/>
          <w:sz w:val="24"/>
          <w:szCs w:val="24"/>
          <w:color w:val="auto"/>
        </w:rPr>
        <w:t>Социально-воспитательная деятельность в Университете реализуется на следующих уровнях: на уровне Университета, факультета, кафедры, студенческой группы</w:t>
      </w:r>
    </w:p>
    <w:p>
      <w:pPr>
        <w:spacing w:after="0" w:line="14" w:lineRule="exact"/>
        <w:rPr>
          <w:sz w:val="20"/>
          <w:szCs w:val="20"/>
          <w:color w:val="auto"/>
        </w:rPr>
      </w:pPr>
    </w:p>
    <w:p>
      <w:pPr>
        <w:jc w:val="both"/>
        <w:ind w:left="260" w:firstLine="2"/>
        <w:spacing w:after="0" w:line="237" w:lineRule="auto"/>
        <w:tabs>
          <w:tab w:leader="none" w:pos="536" w:val="left"/>
        </w:tabs>
        <w:numPr>
          <w:ilvl w:val="0"/>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иных структурных подразделений вуза. Важнейшими элементами среды являются многофункциональные центры и аудитории, зоны самостоятельной работы, инфраструктура студенческих объединений, библиотека, спортивные залы, музей истории образования, зоологический, геологический музей.</w:t>
      </w:r>
    </w:p>
    <w:p>
      <w:pPr>
        <w:spacing w:after="0" w:line="13" w:lineRule="exact"/>
        <w:rPr>
          <w:rFonts w:ascii="Times New Roman" w:cs="Times New Roman" w:eastAsia="Times New Roman" w:hAnsi="Times New Roman"/>
          <w:sz w:val="24"/>
          <w:szCs w:val="24"/>
          <w:color w:val="auto"/>
        </w:rPr>
      </w:pPr>
    </w:p>
    <w:p>
      <w:pPr>
        <w:jc w:val="both"/>
        <w:ind w:left="260" w:firstLine="708"/>
        <w:spacing w:after="0" w:line="237"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Координацию социально-воспитательной деятельности осуществляет проректор по сетевому сотрудничеству и социальному партнерству. В Университете работает отдел по сетевому сотрудничеству и социальному партнерству, функционально ответственный за организацию и реализацию социально-воспитательной деятельности.</w:t>
      </w:r>
    </w:p>
    <w:p>
      <w:pPr>
        <w:spacing w:after="0" w:line="14" w:lineRule="exact"/>
        <w:rPr>
          <w:rFonts w:ascii="Times New Roman" w:cs="Times New Roman" w:eastAsia="Times New Roman" w:hAnsi="Times New Roman"/>
          <w:sz w:val="24"/>
          <w:szCs w:val="24"/>
          <w:color w:val="auto"/>
        </w:rPr>
      </w:pPr>
    </w:p>
    <w:p>
      <w:pPr>
        <w:jc w:val="both"/>
        <w:ind w:left="260" w:firstLine="708"/>
        <w:spacing w:after="0" w:line="236"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Социально-воспитательная среда Университета организуется и сопровождается деятельностью студенческих объединений, действующих на основании Положения о студенческих объединениях в Мининском университете.</w:t>
      </w:r>
    </w:p>
    <w:p>
      <w:pPr>
        <w:spacing w:after="0" w:line="13" w:lineRule="exact"/>
        <w:rPr>
          <w:rFonts w:ascii="Times New Roman" w:cs="Times New Roman" w:eastAsia="Times New Roman" w:hAnsi="Times New Roman"/>
          <w:sz w:val="24"/>
          <w:szCs w:val="24"/>
          <w:color w:val="auto"/>
        </w:rPr>
      </w:pPr>
    </w:p>
    <w:p>
      <w:pPr>
        <w:ind w:left="260" w:firstLine="708"/>
        <w:spacing w:after="0" w:line="234"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Для обеспечения деятельности в конкретных направлениях в Университете созданы:</w:t>
      </w:r>
    </w:p>
    <w:p>
      <w:pPr>
        <w:spacing w:after="0" w:line="1" w:lineRule="exact"/>
        <w:rPr>
          <w:rFonts w:ascii="Times New Roman" w:cs="Times New Roman" w:eastAsia="Times New Roman" w:hAnsi="Times New Roman"/>
          <w:sz w:val="24"/>
          <w:szCs w:val="24"/>
          <w:color w:val="auto"/>
        </w:rPr>
      </w:pP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Объединенный Совет обучающихся;</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Совет студенческих инициатив;</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Студенческий творческий центр;</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Первичная профсоюзная организация студентов;</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Штаб студенческих отрядов Мининского университета «Спутник»;</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Студенческие педагогические отряды: «Фокус», «Фортуна», «Пазл», «Тепло»;</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Студенческие отряды проводников: «Конкордия» и «Компас»;</w:t>
      </w:r>
    </w:p>
    <w:p>
      <w:pPr>
        <w:spacing w:after="0" w:line="12" w:lineRule="exact"/>
        <w:rPr>
          <w:rFonts w:ascii="Times New Roman" w:cs="Times New Roman" w:eastAsia="Times New Roman" w:hAnsi="Times New Roman"/>
          <w:sz w:val="24"/>
          <w:szCs w:val="24"/>
          <w:color w:val="auto"/>
        </w:rPr>
      </w:pPr>
    </w:p>
    <w:p>
      <w:pPr>
        <w:ind w:left="260" w:firstLine="710"/>
        <w:spacing w:after="0" w:line="234" w:lineRule="auto"/>
        <w:tabs>
          <w:tab w:leader="none" w:pos="1167"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Студенческое общественное объединение правоохранительной направленности «Мининский»;</w:t>
      </w:r>
    </w:p>
    <w:p>
      <w:pPr>
        <w:spacing w:after="0" w:line="1" w:lineRule="exact"/>
        <w:rPr>
          <w:rFonts w:ascii="Times New Roman" w:cs="Times New Roman" w:eastAsia="Times New Roman" w:hAnsi="Times New Roman"/>
          <w:sz w:val="24"/>
          <w:szCs w:val="24"/>
          <w:color w:val="auto"/>
        </w:rPr>
      </w:pP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Студенческое телевидение Мининского университета «MininSTV»;</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Волонтерский центр «Мининского университета»;</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Совет обучающихся по качеству образования;</w:t>
      </w:r>
    </w:p>
    <w:p>
      <w:pPr>
        <w:ind w:left="1100" w:hanging="130"/>
        <w:spacing w:after="0"/>
        <w:tabs>
          <w:tab w:leader="none" w:pos="1100" w:val="left"/>
        </w:tabs>
        <w:numPr>
          <w:ilvl w:val="1"/>
          <w:numId w:val="2"/>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Школа вожатского мастерства и др.</w:t>
      </w:r>
    </w:p>
    <w:p>
      <w:pPr>
        <w:spacing w:after="0" w:line="12" w:lineRule="exact"/>
        <w:rPr>
          <w:sz w:val="20"/>
          <w:szCs w:val="20"/>
          <w:color w:val="auto"/>
        </w:rPr>
      </w:pPr>
    </w:p>
    <w:p>
      <w:pPr>
        <w:jc w:val="both"/>
        <w:ind w:left="260" w:right="20" w:firstLine="708"/>
        <w:spacing w:after="0" w:line="236" w:lineRule="auto"/>
        <w:rPr>
          <w:sz w:val="20"/>
          <w:szCs w:val="20"/>
          <w:color w:val="auto"/>
        </w:rPr>
      </w:pPr>
      <w:r>
        <w:rPr>
          <w:rFonts w:ascii="Times New Roman" w:cs="Times New Roman" w:eastAsia="Times New Roman" w:hAnsi="Times New Roman"/>
          <w:sz w:val="24"/>
          <w:szCs w:val="24"/>
          <w:color w:val="auto"/>
        </w:rPr>
        <w:t>За отличные результаты в учебе, социальной деятельности лучшие обучающиеся получают стипендию Президента, Правительства РФ, а также стипендию Губернатора Нижегородской области.</w:t>
      </w:r>
    </w:p>
    <w:p>
      <w:pPr>
        <w:spacing w:after="0" w:line="14" w:lineRule="exact"/>
        <w:rPr>
          <w:sz w:val="20"/>
          <w:szCs w:val="20"/>
          <w:color w:val="auto"/>
        </w:rPr>
      </w:pPr>
    </w:p>
    <w:p>
      <w:pPr>
        <w:jc w:val="both"/>
        <w:ind w:left="260" w:firstLine="708"/>
        <w:spacing w:after="0" w:line="234" w:lineRule="auto"/>
        <w:rPr>
          <w:sz w:val="20"/>
          <w:szCs w:val="20"/>
          <w:color w:val="auto"/>
        </w:rPr>
      </w:pPr>
      <w:r>
        <w:rPr>
          <w:rFonts w:ascii="Times New Roman" w:cs="Times New Roman" w:eastAsia="Times New Roman" w:hAnsi="Times New Roman"/>
          <w:sz w:val="24"/>
          <w:szCs w:val="24"/>
          <w:color w:val="auto"/>
        </w:rPr>
        <w:t>Социальное развитие личности будущего специалиста и руководителя невозможно вне студенческого коллектива. Главное в изменении смысла студенческого</w:t>
      </w:r>
    </w:p>
    <w:p>
      <w:pPr>
        <w:sectPr>
          <w:pgSz w:w="11900" w:h="16838" w:orient="portrait"/>
          <w:cols w:equalWidth="0" w:num="1">
            <w:col w:w="9620"/>
          </w:cols>
          <w:pgMar w:left="1440" w:top="1122" w:right="846" w:bottom="799" w:gutter="0" w:footer="0" w:header="0"/>
        </w:sectPr>
      </w:pPr>
    </w:p>
    <w:p>
      <w:pPr>
        <w:jc w:val="both"/>
        <w:ind w:left="260"/>
        <w:spacing w:after="0" w:line="237" w:lineRule="auto"/>
        <w:rPr>
          <w:sz w:val="20"/>
          <w:szCs w:val="20"/>
          <w:color w:val="auto"/>
        </w:rPr>
      </w:pPr>
      <w:r>
        <w:rPr>
          <w:rFonts w:ascii="Times New Roman" w:cs="Times New Roman" w:eastAsia="Times New Roman" w:hAnsi="Times New Roman"/>
          <w:sz w:val="24"/>
          <w:szCs w:val="24"/>
          <w:color w:val="auto"/>
        </w:rPr>
        <w:t>самоуправления коллектив в Университете состоит в том, что оно приобретает социально-практический созидательный характер, обусловленный необходимостью сознательного, ответственного отношения обучающихся к возможностям и перспективам своей профессиональной и культурно-нравственной самоорганизации и участия в социальном управлении, академической мобильности.</w:t>
      </w:r>
    </w:p>
    <w:p>
      <w:pPr>
        <w:spacing w:after="0" w:line="18" w:lineRule="exact"/>
        <w:rPr>
          <w:sz w:val="20"/>
          <w:szCs w:val="20"/>
          <w:color w:val="auto"/>
        </w:rPr>
      </w:pPr>
    </w:p>
    <w:p>
      <w:pPr>
        <w:jc w:val="both"/>
        <w:ind w:left="260" w:firstLine="708"/>
        <w:spacing w:after="0" w:line="237" w:lineRule="auto"/>
        <w:rPr>
          <w:sz w:val="20"/>
          <w:szCs w:val="20"/>
          <w:color w:val="auto"/>
        </w:rPr>
      </w:pPr>
      <w:r>
        <w:rPr>
          <w:rFonts w:ascii="Times New Roman" w:cs="Times New Roman" w:eastAsia="Times New Roman" w:hAnsi="Times New Roman"/>
          <w:sz w:val="24"/>
          <w:szCs w:val="24"/>
          <w:color w:val="auto"/>
        </w:rPr>
        <w:t>Институт студенческого самоуправления Университета представлен действующими на основе утвержденных в установленном порядке положений («Волонтерский центр», «Первичная профсоюзная организация студентов», «Объединенный Совет обучающихся» и др.). Их деятельность освещается на сайте Университета.</w:t>
      </w:r>
    </w:p>
    <w:p>
      <w:pPr>
        <w:spacing w:after="0" w:line="17" w:lineRule="exact"/>
        <w:rPr>
          <w:sz w:val="20"/>
          <w:szCs w:val="20"/>
          <w:color w:val="auto"/>
        </w:rPr>
      </w:pPr>
    </w:p>
    <w:p>
      <w:pPr>
        <w:jc w:val="both"/>
        <w:ind w:left="260" w:firstLine="708"/>
        <w:spacing w:after="0" w:line="238" w:lineRule="auto"/>
        <w:rPr>
          <w:sz w:val="20"/>
          <w:szCs w:val="20"/>
          <w:color w:val="auto"/>
        </w:rPr>
      </w:pPr>
      <w:r>
        <w:rPr>
          <w:rFonts w:ascii="Times New Roman" w:cs="Times New Roman" w:eastAsia="Times New Roman" w:hAnsi="Times New Roman"/>
          <w:sz w:val="24"/>
          <w:szCs w:val="24"/>
          <w:color w:val="auto"/>
        </w:rPr>
        <w:t>Студенты активно принимают участие в проектах, реализуемых в Мининском университете: «Образовательный конвент для студентов Мининского университета «СОдействие», «Фестиваль студенческих объединений», конкурс молодежных инновационных команд «РОСТ», всероссийский фестиваль студенческих педагогических отрядов «Капитаны счастливого детства», всероссийский проект «Единый день тренингов», волонтерская акция «Дарю тепло души своей» и многие другие.</w:t>
      </w:r>
    </w:p>
    <w:p>
      <w:pPr>
        <w:spacing w:after="0" w:line="15" w:lineRule="exact"/>
        <w:rPr>
          <w:sz w:val="20"/>
          <w:szCs w:val="20"/>
          <w:color w:val="auto"/>
        </w:rPr>
      </w:pPr>
    </w:p>
    <w:p>
      <w:pPr>
        <w:jc w:val="both"/>
        <w:ind w:left="260" w:firstLine="708"/>
        <w:spacing w:after="0" w:line="234" w:lineRule="auto"/>
        <w:rPr>
          <w:sz w:val="20"/>
          <w:szCs w:val="20"/>
          <w:color w:val="auto"/>
        </w:rPr>
      </w:pPr>
      <w:r>
        <w:rPr>
          <w:rFonts w:ascii="Times New Roman" w:cs="Times New Roman" w:eastAsia="Times New Roman" w:hAnsi="Times New Roman"/>
          <w:sz w:val="24"/>
          <w:szCs w:val="24"/>
          <w:color w:val="auto"/>
        </w:rPr>
        <w:t>Студенческий творческий центр Мининского университета ведет работу по развитию самостоятельного творчества по следующим направлениям:</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615950</wp:posOffset>
            </wp:positionH>
            <wp:positionV relativeFrom="paragraph">
              <wp:posOffset>7620</wp:posOffset>
            </wp:positionV>
            <wp:extent cx="237490" cy="16891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extLst>
                    </a:blip>
                    <a:srcRect/>
                    <a:stretch>
                      <a:fillRect/>
                    </a:stretch>
                  </pic:blipFill>
                  <pic:spPr bwMode="auto">
                    <a:xfrm>
                      <a:off x="0" y="0"/>
                      <a:ext cx="237490" cy="168910"/>
                    </a:xfrm>
                    <a:prstGeom prst="rect">
                      <a:avLst/>
                    </a:prstGeom>
                    <a:noFill/>
                  </pic:spPr>
                </pic:pic>
              </a:graphicData>
            </a:graphic>
          </wp:anchor>
        </w:drawing>
      </w:r>
    </w:p>
    <w:p>
      <w:pPr>
        <w:ind w:left="1680"/>
        <w:spacing w:after="0" w:line="236" w:lineRule="auto"/>
        <w:rPr>
          <w:sz w:val="20"/>
          <w:szCs w:val="20"/>
          <w:color w:val="auto"/>
        </w:rPr>
      </w:pPr>
      <w:r>
        <w:rPr>
          <w:rFonts w:ascii="Times New Roman" w:cs="Times New Roman" w:eastAsia="Times New Roman" w:hAnsi="Times New Roman"/>
          <w:sz w:val="24"/>
          <w:szCs w:val="24"/>
          <w:color w:val="auto"/>
        </w:rPr>
        <w:t>вокальное (вокальная студия «Свирель»); хореографическое (танцевальный коллектив «Deca-dance»); литературоведческое («Литературный абонемент: через творчество – к</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615950</wp:posOffset>
            </wp:positionH>
            <wp:positionV relativeFrom="paragraph">
              <wp:posOffset>-342265</wp:posOffset>
            </wp:positionV>
            <wp:extent cx="237490" cy="34417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extLst>
                    </a:blip>
                    <a:srcRect/>
                    <a:stretch>
                      <a:fillRect/>
                    </a:stretch>
                  </pic:blipFill>
                  <pic:spPr bwMode="auto">
                    <a:xfrm>
                      <a:off x="0" y="0"/>
                      <a:ext cx="237490" cy="344170"/>
                    </a:xfrm>
                    <a:prstGeom prst="rect">
                      <a:avLst/>
                    </a:prstGeom>
                    <a:noFill/>
                  </pic:spPr>
                </pic:pic>
              </a:graphicData>
            </a:graphic>
          </wp:anchor>
        </w:drawing>
      </w:r>
    </w:p>
    <w:p>
      <w:pPr>
        <w:ind w:left="260"/>
        <w:spacing w:after="0"/>
        <w:rPr>
          <w:sz w:val="20"/>
          <w:szCs w:val="20"/>
          <w:color w:val="auto"/>
        </w:rPr>
      </w:pPr>
      <w:r>
        <w:rPr>
          <w:rFonts w:ascii="Times New Roman" w:cs="Times New Roman" w:eastAsia="Times New Roman" w:hAnsi="Times New Roman"/>
          <w:sz w:val="24"/>
          <w:szCs w:val="24"/>
          <w:color w:val="auto"/>
        </w:rPr>
        <w:t>знаниям»);</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615950</wp:posOffset>
            </wp:positionH>
            <wp:positionV relativeFrom="paragraph">
              <wp:posOffset>6350</wp:posOffset>
            </wp:positionV>
            <wp:extent cx="237490" cy="16891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extLst>
                    </a:blip>
                    <a:srcRect/>
                    <a:stretch>
                      <a:fillRect/>
                    </a:stretch>
                  </pic:blipFill>
                  <pic:spPr bwMode="auto">
                    <a:xfrm>
                      <a:off x="0" y="0"/>
                      <a:ext cx="237490" cy="168910"/>
                    </a:xfrm>
                    <a:prstGeom prst="rect">
                      <a:avLst/>
                    </a:prstGeom>
                    <a:noFill/>
                  </pic:spPr>
                </pic:pic>
              </a:graphicData>
            </a:graphic>
          </wp:anchor>
        </w:drawing>
      </w:r>
    </w:p>
    <w:p>
      <w:pPr>
        <w:ind w:left="1680"/>
        <w:spacing w:after="0"/>
        <w:rPr>
          <w:sz w:val="20"/>
          <w:szCs w:val="20"/>
          <w:color w:val="auto"/>
        </w:rPr>
      </w:pPr>
      <w:r>
        <w:rPr>
          <w:rFonts w:ascii="Times New Roman" w:cs="Times New Roman" w:eastAsia="Times New Roman" w:hAnsi="Times New Roman"/>
          <w:sz w:val="24"/>
          <w:szCs w:val="24"/>
          <w:color w:val="auto"/>
        </w:rPr>
        <w:t>театральное (театральные студии «ЖЕСТ» и «СТ»).</w:t>
      </w:r>
    </w:p>
    <w:p>
      <w:pPr>
        <w:spacing w:after="0" w:line="12" w:lineRule="exact"/>
        <w:rPr>
          <w:sz w:val="20"/>
          <w:szCs w:val="20"/>
          <w:color w:val="auto"/>
        </w:rPr>
      </w:pPr>
    </w:p>
    <w:p>
      <w:pPr>
        <w:jc w:val="both"/>
        <w:ind w:left="260" w:firstLine="710"/>
        <w:spacing w:after="0" w:line="237" w:lineRule="auto"/>
        <w:tabs>
          <w:tab w:leader="none" w:pos="1273" w:val="left"/>
        </w:tabs>
        <w:numPr>
          <w:ilvl w:val="1"/>
          <w:numId w:val="3"/>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настоящее время Студенческий творческий центр осуществляет следующие творческие проекты: традиционное мероприятие, посвященное началу нового учебного года, «День учителя», «Ты – студент Мининского университета», «Татьянин день», «День защитника отечества», «Международный женский день», «Международный фестиваль национальных куль-тур», «ТОП 5 Мининского», «Вахта памяти», «Спасибо, Мининский»</w:t>
      </w:r>
    </w:p>
    <w:p>
      <w:pPr>
        <w:spacing w:after="0" w:line="5" w:lineRule="exact"/>
        <w:rPr>
          <w:rFonts w:ascii="Times New Roman" w:cs="Times New Roman" w:eastAsia="Times New Roman" w:hAnsi="Times New Roman"/>
          <w:sz w:val="24"/>
          <w:szCs w:val="24"/>
          <w:color w:val="auto"/>
        </w:rPr>
      </w:pPr>
    </w:p>
    <w:p>
      <w:pPr>
        <w:ind w:left="460" w:hanging="198"/>
        <w:spacing w:after="0"/>
        <w:tabs>
          <w:tab w:leader="none" w:pos="460" w:val="left"/>
        </w:tabs>
        <w:numPr>
          <w:ilvl w:val="0"/>
          <w:numId w:val="3"/>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др.</w:t>
      </w:r>
    </w:p>
    <w:p>
      <w:pPr>
        <w:spacing w:after="0" w:line="12" w:lineRule="exact"/>
        <w:rPr>
          <w:sz w:val="20"/>
          <w:szCs w:val="20"/>
          <w:color w:val="auto"/>
        </w:rPr>
      </w:pPr>
    </w:p>
    <w:p>
      <w:pPr>
        <w:jc w:val="both"/>
        <w:ind w:left="260" w:firstLine="708"/>
        <w:spacing w:after="0" w:line="234" w:lineRule="auto"/>
        <w:rPr>
          <w:sz w:val="20"/>
          <w:szCs w:val="20"/>
          <w:color w:val="auto"/>
        </w:rPr>
      </w:pPr>
      <w:r>
        <w:rPr>
          <w:rFonts w:ascii="Times New Roman" w:cs="Times New Roman" w:eastAsia="Times New Roman" w:hAnsi="Times New Roman"/>
          <w:sz w:val="24"/>
          <w:szCs w:val="24"/>
          <w:color w:val="auto"/>
        </w:rPr>
        <w:t>Творческие коллективы Университета – неоднократные лауреаты городских, областных и всероссийских конкурсов и фестивалей.</w:t>
      </w:r>
    </w:p>
    <w:p>
      <w:pPr>
        <w:spacing w:after="0" w:line="14" w:lineRule="exact"/>
        <w:rPr>
          <w:sz w:val="20"/>
          <w:szCs w:val="20"/>
          <w:color w:val="auto"/>
        </w:rPr>
      </w:pPr>
    </w:p>
    <w:p>
      <w:pPr>
        <w:jc w:val="both"/>
        <w:ind w:left="260" w:firstLine="708"/>
        <w:spacing w:after="0" w:line="237" w:lineRule="auto"/>
        <w:rPr>
          <w:sz w:val="20"/>
          <w:szCs w:val="20"/>
          <w:color w:val="auto"/>
        </w:rPr>
      </w:pPr>
      <w:r>
        <w:rPr>
          <w:rFonts w:ascii="Times New Roman" w:cs="Times New Roman" w:eastAsia="Times New Roman" w:hAnsi="Times New Roman"/>
          <w:sz w:val="24"/>
          <w:szCs w:val="24"/>
          <w:color w:val="auto"/>
        </w:rPr>
        <w:t>Одним из элементов системы социально-воспитательной деятельности является научно-исследовательская работа. Представители научных студенческих объединений «Роза ветров», «Изучение и охрана биологического разнообразия», клуб «БИОС», «Зеленый Минин» достойно представляли Мининский университет на форумах и конкурсах всех уровней.</w:t>
      </w:r>
    </w:p>
    <w:p>
      <w:pPr>
        <w:spacing w:after="0" w:line="17" w:lineRule="exact"/>
        <w:rPr>
          <w:sz w:val="20"/>
          <w:szCs w:val="20"/>
          <w:color w:val="auto"/>
        </w:rPr>
      </w:pPr>
    </w:p>
    <w:p>
      <w:pPr>
        <w:jc w:val="both"/>
        <w:ind w:left="260" w:firstLine="708"/>
        <w:spacing w:after="0" w:line="237" w:lineRule="auto"/>
        <w:rPr>
          <w:sz w:val="20"/>
          <w:szCs w:val="20"/>
          <w:color w:val="auto"/>
        </w:rPr>
      </w:pPr>
      <w:r>
        <w:rPr>
          <w:rFonts w:ascii="Times New Roman" w:cs="Times New Roman" w:eastAsia="Times New Roman" w:hAnsi="Times New Roman"/>
          <w:sz w:val="24"/>
          <w:szCs w:val="24"/>
          <w:color w:val="auto"/>
        </w:rPr>
        <w:t>Обучающиеся Университета – неоднократные победители и призеры всероссийских, региональных, областных олимпиад и конкурсов. В Университете ежегодно выпускаются студенческий научный сборник «Неофит», сборники студенческих научных работ кафедр.</w:t>
      </w:r>
    </w:p>
    <w:p>
      <w:pPr>
        <w:spacing w:after="0" w:line="14" w:lineRule="exact"/>
        <w:rPr>
          <w:sz w:val="20"/>
          <w:szCs w:val="20"/>
          <w:color w:val="auto"/>
        </w:rPr>
      </w:pPr>
    </w:p>
    <w:p>
      <w:pPr>
        <w:ind w:left="260" w:firstLine="710"/>
        <w:spacing w:after="0" w:line="234" w:lineRule="auto"/>
        <w:tabs>
          <w:tab w:leader="none" w:pos="1268" w:val="left"/>
        </w:tabs>
        <w:numPr>
          <w:ilvl w:val="0"/>
          <w:numId w:val="4"/>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университете созданы условия, в рамках дополнительного образования, для изучения иностранных языков, информационных технологий.</w:t>
      </w:r>
    </w:p>
    <w:p>
      <w:pPr>
        <w:spacing w:after="0" w:line="13" w:lineRule="exact"/>
        <w:rPr>
          <w:rFonts w:ascii="Times New Roman" w:cs="Times New Roman" w:eastAsia="Times New Roman" w:hAnsi="Times New Roman"/>
          <w:sz w:val="24"/>
          <w:szCs w:val="24"/>
          <w:color w:val="auto"/>
        </w:rPr>
      </w:pPr>
    </w:p>
    <w:p>
      <w:pPr>
        <w:jc w:val="both"/>
        <w:ind w:left="260" w:firstLine="708"/>
        <w:spacing w:after="0" w:line="238" w:lineRule="auto"/>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Социально-воспитательная деятельность с обучающимися в Мининском университете носит направленный характер и осуществляется по следующим проектным линиям: «Наука и инновация», «Профессиональные компетенции», «Культура и творчество», «Студенческие информационные ресурсы», «Студенческий спорт и ЗОЖ», «Волонтерство и социальное проектирование», «Историко-патриотическое воспитание», «Международное сотрудничество», «Социальные стандарты и права студентов», «Межкультурный диалог». В настоящее время создана и развивается система студенческих объединений (далее – СО), которая насчитывает 44 сообщества, действующие в рамках следующих основных 9 направлений.</w:t>
      </w:r>
    </w:p>
    <w:p>
      <w:pPr>
        <w:sectPr>
          <w:pgSz w:w="11900" w:h="16838" w:orient="portrait"/>
          <w:cols w:equalWidth="0" w:num="1">
            <w:col w:w="9620"/>
          </w:cols>
          <w:pgMar w:left="1440" w:top="1135" w:right="846" w:bottom="1082" w:gutter="0" w:footer="0" w:header="0"/>
        </w:sectPr>
      </w:pPr>
    </w:p>
    <w:p>
      <w:pPr>
        <w:jc w:val="both"/>
        <w:ind w:left="260" w:firstLine="710"/>
        <w:spacing w:after="0" w:line="238" w:lineRule="auto"/>
        <w:tabs>
          <w:tab w:leader="none" w:pos="1256" w:val="left"/>
        </w:tabs>
        <w:numPr>
          <w:ilvl w:val="1"/>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Социальные стандарты и права студентов. Индивидуальная работа студентов в данном направлении способствует развитию организационной деятельности объединенного совета обучающихся, вовлечению студентов в процессы повышения качества образования, деятельности стипендиальных комиссий. Это направление работы представлено в вузе следующими СО: Объединенный Совет Обучающихся Мининского университета; Первичная профсоюзная организация студентов НГПУ им. К. Минина; Совет студенческий инициатив факультета управления и социально-технических сервисов; Актив Креативных Студентов факультета естественных, математических и компьютерных наук; Совет обучающихся по качеству образования.</w:t>
      </w:r>
    </w:p>
    <w:p>
      <w:pPr>
        <w:spacing w:after="0" w:line="21" w:lineRule="exact"/>
        <w:rPr>
          <w:rFonts w:ascii="Times New Roman" w:cs="Times New Roman" w:eastAsia="Times New Roman" w:hAnsi="Times New Roman"/>
          <w:sz w:val="24"/>
          <w:szCs w:val="24"/>
          <w:color w:val="auto"/>
        </w:rPr>
      </w:pPr>
    </w:p>
    <w:p>
      <w:pPr>
        <w:jc w:val="both"/>
        <w:ind w:left="260" w:firstLine="710"/>
        <w:spacing w:after="0" w:line="239" w:lineRule="auto"/>
        <w:tabs>
          <w:tab w:leader="none" w:pos="1261" w:val="left"/>
        </w:tabs>
        <w:numPr>
          <w:ilvl w:val="1"/>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Наука и инновации. Данное направление способствует развитию студенческих научных обществ, студенческих конструкторских исследовательских бюро, инновационного предпринимательства. В этом направлении в вузе функционируют «Коворкинг-центр» – ресурсная база для фрилансеров; Научное студенческое общество «Роза ветров»; Научно-исследовательское студенческое объединение «Изучение и охрана биологического разнообразия»; Научное студенческое общество при кафедре всеобщей истории, классических дисциплин и права; Студенческий научно-практический клуб «Пеликановский спецназ»; СО «Управление и экономические инновации»; СО «The Financical Scince; Студенческий научно-исследовательский клуб «БИОС»; Молодежный клуб русского географического общества Нижегородского регионального отделения; Научное студенческое общество Vita memoriae.</w:t>
      </w:r>
    </w:p>
    <w:p>
      <w:pPr>
        <w:spacing w:after="0" w:line="13" w:lineRule="exact"/>
        <w:rPr>
          <w:rFonts w:ascii="Times New Roman" w:cs="Times New Roman" w:eastAsia="Times New Roman" w:hAnsi="Times New Roman"/>
          <w:sz w:val="24"/>
          <w:szCs w:val="24"/>
          <w:color w:val="auto"/>
        </w:rPr>
      </w:pPr>
    </w:p>
    <w:p>
      <w:pPr>
        <w:jc w:val="both"/>
        <w:ind w:left="260" w:firstLine="710"/>
        <w:spacing w:after="0" w:line="239" w:lineRule="auto"/>
        <w:tabs>
          <w:tab w:leader="none" w:pos="1301" w:val="left"/>
        </w:tabs>
        <w:numPr>
          <w:ilvl w:val="1"/>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Профессиональные компетенции. В этом направлении созданы условия для участия студентов в программах центров профессиональной ориентации, реализации студенческих предпринимательских идей, участия в деятельности студенческих отрядов, повышения уровня культуры безопасности жизнедеятельности, повышения уровня финансовой грамотности обучающихся, организации деятельности кафедр по работе с молодежью. В данном направлении в вузе функционируют следующие студенческие объединения: Штаб студенческих отрядов Мининского университета «Спутник»; Студенческий педагогический отряд «Фокус»; Студенческий педагогический отряд «Фортуна»; Студенческий педагогический отряд «ПАЗЛ»; Студенческий педагогический отряд «Тепло»; Студенческий отряд проводников «Конкордия»; Студенческий педагогический отряд «Компас»; студенческое кадровое агентство «Мининский»; СО«Техническое творчество в развитии личности и общества»; СО«Сервис на службе интересов»; СО «Педагогическое созвездие», отряд студентов-дизайнеров «Mind»).</w:t>
      </w:r>
    </w:p>
    <w:p>
      <w:pPr>
        <w:spacing w:after="0" w:line="15" w:lineRule="exact"/>
        <w:rPr>
          <w:rFonts w:ascii="Times New Roman" w:cs="Times New Roman" w:eastAsia="Times New Roman" w:hAnsi="Times New Roman"/>
          <w:sz w:val="24"/>
          <w:szCs w:val="24"/>
          <w:color w:val="auto"/>
        </w:rPr>
      </w:pPr>
    </w:p>
    <w:p>
      <w:pPr>
        <w:jc w:val="both"/>
        <w:ind w:left="260" w:firstLine="710"/>
        <w:spacing w:after="0" w:line="237" w:lineRule="auto"/>
        <w:tabs>
          <w:tab w:leader="none" w:pos="1364" w:val="left"/>
        </w:tabs>
        <w:numPr>
          <w:ilvl w:val="1"/>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Культура и творчество. Данное направление индивидуальной работы с обучающимися способствует раскрытию студенческого творческого потенциала, развитию студенческих творческих клубов и коллективов. В вузе организованы следующие СО в этом направлении: «Литературный абонемент: через творчество – к знаниям» и «Студенческий творческий центр».</w:t>
      </w:r>
    </w:p>
    <w:p>
      <w:pPr>
        <w:spacing w:after="0" w:line="17" w:lineRule="exact"/>
        <w:rPr>
          <w:rFonts w:ascii="Times New Roman" w:cs="Times New Roman" w:eastAsia="Times New Roman" w:hAnsi="Times New Roman"/>
          <w:sz w:val="24"/>
          <w:szCs w:val="24"/>
          <w:color w:val="auto"/>
        </w:rPr>
      </w:pPr>
    </w:p>
    <w:p>
      <w:pPr>
        <w:jc w:val="both"/>
        <w:ind w:left="260" w:firstLine="710"/>
        <w:spacing w:after="0" w:line="238" w:lineRule="auto"/>
        <w:tabs>
          <w:tab w:leader="none" w:pos="1318" w:val="left"/>
        </w:tabs>
        <w:numPr>
          <w:ilvl w:val="1"/>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Студенческий спорт и ЗОЖ. Данное направление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следующие СО: Студенческий спортивный клуб «Fiery Wolves» и Туристский клуб «Квадратный медведь». Также в университете на базе факультета физической культуры и спорта действуют следующие спортивные секции: атлетическая гимнастика (девушки, юноши), волейбол (девушки, юноши),</w:t>
      </w:r>
    </w:p>
    <w:p>
      <w:pPr>
        <w:spacing w:after="0" w:line="6" w:lineRule="exact"/>
        <w:rPr>
          <w:rFonts w:ascii="Times New Roman" w:cs="Times New Roman" w:eastAsia="Times New Roman" w:hAnsi="Times New Roman"/>
          <w:sz w:val="24"/>
          <w:szCs w:val="24"/>
          <w:color w:val="auto"/>
        </w:rPr>
      </w:pPr>
    </w:p>
    <w:p>
      <w:pPr>
        <w:ind w:left="26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аэробика,бадминтон,баскетбол(девушки,юноши),мини-футбол</w:t>
      </w:r>
    </w:p>
    <w:p>
      <w:pPr>
        <w:ind w:left="26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(https://mininuniver.ru/student/sport).</w:t>
      </w:r>
    </w:p>
    <w:p>
      <w:pPr>
        <w:ind w:left="1240" w:hanging="270"/>
        <w:spacing w:after="0"/>
        <w:tabs>
          <w:tab w:leader="none" w:pos="1240" w:val="left"/>
        </w:tabs>
        <w:numPr>
          <w:ilvl w:val="1"/>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Волонтерство и социальное проектирование. Индивидуальное участие студентов</w:t>
      </w:r>
    </w:p>
    <w:p>
      <w:pPr>
        <w:spacing w:after="0" w:line="12" w:lineRule="exact"/>
        <w:rPr>
          <w:rFonts w:ascii="Times New Roman" w:cs="Times New Roman" w:eastAsia="Times New Roman" w:hAnsi="Times New Roman"/>
          <w:sz w:val="24"/>
          <w:szCs w:val="24"/>
          <w:color w:val="auto"/>
        </w:rPr>
      </w:pPr>
    </w:p>
    <w:p>
      <w:pPr>
        <w:jc w:val="both"/>
        <w:ind w:left="260" w:firstLine="2"/>
        <w:spacing w:after="0" w:line="236" w:lineRule="auto"/>
        <w:tabs>
          <w:tab w:leader="none" w:pos="517" w:val="left"/>
        </w:tabs>
        <w:numPr>
          <w:ilvl w:val="0"/>
          <w:numId w:val="5"/>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СО данного направления способствует развитию волонтерских и добровольческих компетенций, обучению социальному проектированию. В этом направлении в университете представлены: СО «Развиваем, обучаем – педагогические инновации»; СО</w:t>
      </w:r>
    </w:p>
    <w:p>
      <w:pPr>
        <w:sectPr>
          <w:pgSz w:w="11900" w:h="16838" w:orient="portrait"/>
          <w:cols w:equalWidth="0" w:num="1">
            <w:col w:w="9620"/>
          </w:cols>
          <w:pgMar w:left="1440" w:top="1135" w:right="846" w:bottom="799" w:gutter="0" w:footer="0" w:header="0"/>
        </w:sectPr>
      </w:pPr>
    </w:p>
    <w:p>
      <w:pPr>
        <w:jc w:val="both"/>
        <w:ind w:left="260"/>
        <w:spacing w:after="0" w:line="236" w:lineRule="auto"/>
        <w:rPr>
          <w:sz w:val="20"/>
          <w:szCs w:val="20"/>
          <w:color w:val="auto"/>
        </w:rPr>
      </w:pPr>
      <w:r>
        <w:rPr>
          <w:rFonts w:ascii="Times New Roman" w:cs="Times New Roman" w:eastAsia="Times New Roman" w:hAnsi="Times New Roman"/>
          <w:sz w:val="24"/>
          <w:szCs w:val="24"/>
          <w:color w:val="auto"/>
        </w:rPr>
        <w:t>волонтеров «АРТруист»; СО «Территория возможностей»; «Волонтерский центр Мининского университета»; Волонтерский корпус центра проекта «Твой курс: IT для молодежи».</w:t>
      </w:r>
    </w:p>
    <w:p>
      <w:pPr>
        <w:spacing w:after="0" w:line="14" w:lineRule="exact"/>
        <w:rPr>
          <w:sz w:val="20"/>
          <w:szCs w:val="20"/>
          <w:color w:val="auto"/>
        </w:rPr>
      </w:pPr>
    </w:p>
    <w:p>
      <w:pPr>
        <w:jc w:val="both"/>
        <w:ind w:left="260" w:firstLine="708"/>
        <w:spacing w:after="0" w:line="238" w:lineRule="auto"/>
        <w:rPr>
          <w:sz w:val="20"/>
          <w:szCs w:val="20"/>
          <w:color w:val="auto"/>
        </w:rPr>
      </w:pPr>
      <w:r>
        <w:rPr>
          <w:rFonts w:ascii="Times New Roman" w:cs="Times New Roman" w:eastAsia="Times New Roman" w:hAnsi="Times New Roman"/>
          <w:sz w:val="24"/>
          <w:szCs w:val="24"/>
          <w:color w:val="auto"/>
        </w:rPr>
        <w:t>Следует отметить, что в целях распространения практики непрерывного проектирования на внеучебную деятельность студентов Мининский университет реализует проект «Образовательный конвент для студентов «Содействие», включающий выездную обучающую смену, тренинги развития профессиональных компетенций, дискуссии с экспертами, проектные сессии, стендовую презентацию студенческих объединений Мининского университета, индивидуальные консультации по проектной деятельности, очную защиту.</w:t>
      </w:r>
    </w:p>
    <w:p>
      <w:pPr>
        <w:spacing w:after="0" w:line="16" w:lineRule="exact"/>
        <w:rPr>
          <w:sz w:val="20"/>
          <w:szCs w:val="20"/>
          <w:color w:val="auto"/>
        </w:rPr>
      </w:pPr>
    </w:p>
    <w:p>
      <w:pPr>
        <w:jc w:val="both"/>
        <w:ind w:left="260" w:firstLine="710"/>
        <w:spacing w:after="0" w:line="236" w:lineRule="auto"/>
        <w:tabs>
          <w:tab w:leader="none" w:pos="1210" w:val="left"/>
        </w:tabs>
        <w:numPr>
          <w:ilvl w:val="0"/>
          <w:numId w:val="6"/>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рамках проекта каждый студент получает возможность не только разработать и защитить собственный проект, но и реализовать его при организационной и финансовой поддержке университета. Проект успешно реализуется с 2016 года. За этот период в</w:t>
      </w:r>
    </w:p>
    <w:p>
      <w:pPr>
        <w:spacing w:after="0" w:line="13" w:lineRule="exact"/>
        <w:rPr>
          <w:rFonts w:ascii="Times New Roman" w:cs="Times New Roman" w:eastAsia="Times New Roman" w:hAnsi="Times New Roman"/>
          <w:sz w:val="24"/>
          <w:szCs w:val="24"/>
          <w:color w:val="auto"/>
        </w:rPr>
      </w:pPr>
    </w:p>
    <w:p>
      <w:pPr>
        <w:ind w:left="260"/>
        <w:spacing w:after="0"/>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проекте  приняли  участие  более  500  студентов  вуза.  Вся  информация  о  конвенте  и</w:t>
      </w:r>
    </w:p>
    <w:p>
      <w:pPr>
        <w:spacing w:after="0" w:line="290" w:lineRule="exact"/>
        <w:rPr>
          <w:sz w:val="20"/>
          <w:szCs w:val="20"/>
          <w:color w:val="auto"/>
        </w:rPr>
      </w:pPr>
    </w:p>
    <w:p>
      <w:pPr>
        <w:jc w:val="both"/>
        <w:ind w:left="260"/>
        <w:spacing w:after="0" w:line="234" w:lineRule="auto"/>
        <w:rPr>
          <w:sz w:val="20"/>
          <w:szCs w:val="20"/>
          <w:color w:val="auto"/>
        </w:rPr>
      </w:pPr>
      <w:r>
        <w:rPr>
          <w:rFonts w:ascii="Times New Roman" w:cs="Times New Roman" w:eastAsia="Times New Roman" w:hAnsi="Times New Roman"/>
          <w:sz w:val="24"/>
          <w:szCs w:val="24"/>
          <w:color w:val="auto"/>
        </w:rPr>
        <w:t>реализованных проектах студентов доступны в группе ВКонтакте https://vk.com/sodeistvie_lider.</w:t>
      </w:r>
    </w:p>
    <w:p>
      <w:pPr>
        <w:spacing w:after="0" w:line="14" w:lineRule="exact"/>
        <w:rPr>
          <w:sz w:val="20"/>
          <w:szCs w:val="20"/>
          <w:color w:val="auto"/>
        </w:rPr>
      </w:pPr>
    </w:p>
    <w:p>
      <w:pPr>
        <w:jc w:val="both"/>
        <w:ind w:left="260" w:firstLine="710"/>
        <w:spacing w:after="0" w:line="237" w:lineRule="auto"/>
        <w:tabs>
          <w:tab w:leader="none" w:pos="1390"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Историко-патриотическое воспитание. Данное направление способствует формированию гражданского патриотизма, изучению истории Отечества. В этом направлении в университете представлены следующие объединения: Военно-патриотический клуб «Поколение», СО «Вечный го-род».</w:t>
      </w:r>
    </w:p>
    <w:p>
      <w:pPr>
        <w:spacing w:after="0" w:line="13" w:lineRule="exact"/>
        <w:rPr>
          <w:rFonts w:ascii="Times New Roman" w:cs="Times New Roman" w:eastAsia="Times New Roman" w:hAnsi="Times New Roman"/>
          <w:sz w:val="24"/>
          <w:szCs w:val="24"/>
          <w:color w:val="auto"/>
        </w:rPr>
      </w:pPr>
    </w:p>
    <w:p>
      <w:pPr>
        <w:jc w:val="both"/>
        <w:ind w:left="260" w:firstLine="710"/>
        <w:spacing w:after="0" w:line="238" w:lineRule="auto"/>
        <w:tabs>
          <w:tab w:leader="none" w:pos="1244"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Межкультурный диалог, международное сотрудничество. В этом направлении в вузе функционируют следующие СО: дискуссионный клуб «Колокол»; немецкий разговорный клуб «Sprachcafé», Международное студенческое объединение «АйЛаоВай». Работа данных студенческих сообществ способствует вовлечению молодежи в процесс гармонизации межнациональных отношений и межэтнической дружбы; социальной адаптации иностранных студентов, обучающихся в университете; развитию международных молодежных обменов, реализации совместных проектов с представителями иностранных государств.</w:t>
      </w:r>
    </w:p>
    <w:p>
      <w:pPr>
        <w:spacing w:after="0" w:line="18" w:lineRule="exact"/>
        <w:rPr>
          <w:rFonts w:ascii="Times New Roman" w:cs="Times New Roman" w:eastAsia="Times New Roman" w:hAnsi="Times New Roman"/>
          <w:sz w:val="24"/>
          <w:szCs w:val="24"/>
          <w:color w:val="auto"/>
        </w:rPr>
      </w:pPr>
    </w:p>
    <w:p>
      <w:pPr>
        <w:jc w:val="both"/>
        <w:ind w:left="260" w:firstLine="710"/>
        <w:spacing w:after="0" w:line="237" w:lineRule="auto"/>
        <w:tabs>
          <w:tab w:leader="none" w:pos="1316" w:val="left"/>
        </w:tabs>
        <w:numPr>
          <w:ilvl w:val="0"/>
          <w:numId w:val="7"/>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Студенческие информационные ресурсы. Данное направление способствует развитию информационной среды вуза, студенческих медиаресурсов. В вузе функционируют следующие СО данной направленности: Студенческая газета факультета физической культуры и спорта «Спорт-факс»; Студенческое телевидение Мининского университета «MininSTV».</w:t>
      </w:r>
    </w:p>
    <w:p>
      <w:pPr>
        <w:spacing w:after="0" w:line="293" w:lineRule="exact"/>
        <w:rPr>
          <w:sz w:val="20"/>
          <w:szCs w:val="20"/>
          <w:color w:val="auto"/>
        </w:rPr>
      </w:pPr>
    </w:p>
    <w:p>
      <w:pPr>
        <w:jc w:val="both"/>
        <w:ind w:left="260" w:firstLine="708"/>
        <w:spacing w:after="0" w:line="236" w:lineRule="auto"/>
        <w:rPr>
          <w:sz w:val="20"/>
          <w:szCs w:val="20"/>
          <w:color w:val="auto"/>
        </w:rPr>
      </w:pPr>
      <w:r>
        <w:rPr>
          <w:rFonts w:ascii="Times New Roman" w:cs="Times New Roman" w:eastAsia="Times New Roman" w:hAnsi="Times New Roman"/>
          <w:sz w:val="24"/>
          <w:szCs w:val="24"/>
          <w:color w:val="auto"/>
        </w:rPr>
        <w:t>Информация о деятельности студенческих объединений Мининского университета размещена на сайте: https://mininuniver.ru. Интерактивная карта студенческих объединений доступна по ссылке: https://mininuniver.ru/student/stude-organization.</w:t>
      </w:r>
    </w:p>
    <w:p>
      <w:pPr>
        <w:spacing w:after="0" w:line="278"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24"/>
          <w:szCs w:val="24"/>
          <w:color w:val="auto"/>
        </w:rPr>
        <w:t>Информация по деятельности спортивных кружков и секций доступна по ссылке:</w:t>
      </w:r>
    </w:p>
    <w:p>
      <w:pPr>
        <w:ind w:left="260"/>
        <w:spacing w:after="0"/>
        <w:rPr>
          <w:sz w:val="20"/>
          <w:szCs w:val="20"/>
          <w:color w:val="auto"/>
        </w:rPr>
      </w:pPr>
      <w:r>
        <w:rPr>
          <w:rFonts w:ascii="Times New Roman" w:cs="Times New Roman" w:eastAsia="Times New Roman" w:hAnsi="Times New Roman"/>
          <w:sz w:val="24"/>
          <w:szCs w:val="24"/>
          <w:color w:val="auto"/>
        </w:rPr>
        <w:t>https://mininuniver.ru/student/sport.</w:t>
      </w:r>
    </w:p>
    <w:p>
      <w:pPr>
        <w:spacing w:after="0" w:line="277" w:lineRule="exact"/>
        <w:rPr>
          <w:sz w:val="20"/>
          <w:szCs w:val="20"/>
          <w:color w:val="auto"/>
        </w:rPr>
      </w:pPr>
    </w:p>
    <w:p>
      <w:pPr>
        <w:ind w:left="1200" w:hanging="230"/>
        <w:spacing w:after="0"/>
        <w:tabs>
          <w:tab w:leader="none" w:pos="1200" w:val="left"/>
        </w:tabs>
        <w:numPr>
          <w:ilvl w:val="1"/>
          <w:numId w:val="8"/>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НГПУ им. К. Минина созданы условия для оздоровления и отдыха обучающихся</w:t>
      </w:r>
    </w:p>
    <w:p>
      <w:pPr>
        <w:ind w:left="440" w:hanging="178"/>
        <w:spacing w:after="0"/>
        <w:tabs>
          <w:tab w:leader="none" w:pos="440" w:val="left"/>
        </w:tabs>
        <w:numPr>
          <w:ilvl w:val="0"/>
          <w:numId w:val="8"/>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оздоровительном лагере «Веселый берег».</w:t>
      </w:r>
    </w:p>
    <w:p>
      <w:pPr>
        <w:spacing w:after="0" w:line="288" w:lineRule="exact"/>
        <w:rPr>
          <w:sz w:val="20"/>
          <w:szCs w:val="20"/>
          <w:color w:val="auto"/>
        </w:rPr>
      </w:pPr>
    </w:p>
    <w:p>
      <w:pPr>
        <w:jc w:val="both"/>
        <w:ind w:left="260" w:firstLine="708"/>
        <w:spacing w:after="0" w:line="238" w:lineRule="auto"/>
        <w:rPr>
          <w:sz w:val="20"/>
          <w:szCs w:val="20"/>
          <w:color w:val="auto"/>
        </w:rPr>
      </w:pPr>
      <w:r>
        <w:rPr>
          <w:rFonts w:ascii="Times New Roman" w:cs="Times New Roman" w:eastAsia="Times New Roman" w:hAnsi="Times New Roman"/>
          <w:sz w:val="24"/>
          <w:szCs w:val="24"/>
          <w:color w:val="auto"/>
        </w:rPr>
        <w:t>Среда НГПУ им. К. Минина охватывает комплекс факторов (культурных, материально-технических, информационных, духовных, эстетических, социально-педагогических), которые мгновенно или долговременно оказывают влияние на жизнь, здоровье, досуг, учебную, научно-исследовательскую деятельность обучающихся, развитие их индивидуально-личностных и профессиональных качеств, определяет их ценности, идеалы и нормы. В целом образовательно-информационная среда Университета</w:t>
      </w:r>
    </w:p>
    <w:p>
      <w:pPr>
        <w:spacing w:after="0" w:line="14" w:lineRule="exact"/>
        <w:rPr>
          <w:sz w:val="20"/>
          <w:szCs w:val="20"/>
          <w:color w:val="auto"/>
        </w:rPr>
      </w:pPr>
    </w:p>
    <w:p>
      <w:pPr>
        <w:ind w:left="260" w:firstLine="2"/>
        <w:spacing w:after="0" w:line="234" w:lineRule="auto"/>
        <w:tabs>
          <w:tab w:leader="none" w:pos="435" w:val="left"/>
        </w:tabs>
        <w:numPr>
          <w:ilvl w:val="0"/>
          <w:numId w:val="9"/>
        </w:numPr>
        <w:rPr>
          <w:rFonts w:ascii="Times New Roman" w:cs="Times New Roman" w:eastAsia="Times New Roman" w:hAnsi="Times New Roman"/>
          <w:sz w:val="24"/>
          <w:szCs w:val="24"/>
          <w:color w:val="auto"/>
        </w:rPr>
      </w:pPr>
      <w:r>
        <w:rPr>
          <w:rFonts w:ascii="Times New Roman" w:cs="Times New Roman" w:eastAsia="Times New Roman" w:hAnsi="Times New Roman"/>
          <w:sz w:val="24"/>
          <w:szCs w:val="24"/>
          <w:color w:val="auto"/>
        </w:rPr>
        <w:t>это целостная система условий, факторов влияний, включающая два взаимосвязанных элемента: пространственно-духовный и предметно-материальный. Взаимодействие в</w:t>
      </w:r>
    </w:p>
    <w:p>
      <w:pPr>
        <w:sectPr>
          <w:pgSz w:w="11900" w:h="16838" w:orient="portrait"/>
          <w:cols w:equalWidth="0" w:num="1">
            <w:col w:w="9620"/>
          </w:cols>
          <w:pgMar w:left="1440" w:top="1135" w:right="846" w:bottom="799" w:gutter="0" w:footer="0" w:header="0"/>
        </w:sectPr>
      </w:pPr>
    </w:p>
    <w:p>
      <w:pPr>
        <w:jc w:val="center"/>
        <w:spacing w:after="0" w:line="234" w:lineRule="auto"/>
        <w:tabs>
          <w:tab w:leader="none" w:pos="435" w:val="left"/>
        </w:tabs>
        <w:rPr>
          <w:sz w:val="20"/>
          <w:szCs w:val="20"/>
          <w:color w:val="auto"/>
        </w:rPr>
      </w:pPr>
      <w:r>
        <w:rPr>
          <w:sz w:val="20"/>
          <w:szCs w:val="20"/>
          <w:color w:val="auto"/>
        </w:rPr>
        <w:drawing>
          <wp:anchor simplePos="0" relativeHeight="251657728" behindDoc="1" locked="0" layoutInCell="0" allowOverlap="1">
            <wp:simplePos x="0" y="0"/>
            <wp:positionH relativeFrom="page">
              <wp:posOffset>1080770</wp:posOffset>
            </wp:positionH>
            <wp:positionV relativeFrom="page">
              <wp:posOffset>719455</wp:posOffset>
            </wp:positionV>
            <wp:extent cx="6479540" cy="887285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clrChange>
                        <a:clrFrom>
                          <a:srgbClr val="FFFFFF"/>
                        </a:clrFrom>
                        <a:clrTo>
                          <a:srgbClr val="FFFFFF">
                            <a:alpha val="0"/>
                          </a:srgbClr>
                        </a:clrTo>
                      </a:clrChange>
                      <a:extLst>
                        <a:ext uri="{28A0092B-C50C-407E-A947-70E740481C1C}"/>
                      </a:extLst>
                    </a:blip>
                    <a:srcRect/>
                    <a:stretch>
                      <a:fillRect/>
                    </a:stretch>
                  </pic:blipFill>
                  <pic:spPr bwMode="auto">
                    <a:xfrm>
                      <a:off x="0" y="0"/>
                      <a:ext cx="6479540" cy="8872855"/>
                    </a:xfrm>
                    <a:prstGeom prst="rect">
                      <a:avLst/>
                    </a:prstGeom>
                    <a:noFill/>
                  </pic:spPr>
                </pic:pic>
              </a:graphicData>
            </a:graphic>
          </wp:anchor>
        </w:drawing>
      </w:r>
    </w:p>
    <w:sectPr>
      <w:pgSz w:w="11900" w:h="16838" w:orient="portrait"/>
      <w:cols w:equalWidth="1" w:num="1" w:space="0"/>
      <w:pgMar w:left="1440" w:top="1440" w:right="1440" w:bottom="875"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5F90"/>
    <w:multiLevelType w:val="hybridMultilevel"/>
    <w:lvl w:ilvl="0">
      <w:lvlJc w:val="left"/>
      <w:lvlText w:val="а"/>
      <w:numFmt w:val="bullet"/>
      <w:start w:val="1"/>
    </w:lvl>
    <w:lvl w:ilvl="1">
      <w:lvlJc w:val="left"/>
      <w:lvlText w:val="В"/>
      <w:numFmt w:val="bullet"/>
      <w:start w:val="1"/>
    </w:lvl>
  </w:abstractNum>
  <w:abstractNum w:abstractNumId="1">
    <w:nsid w:val="1649"/>
    <w:multiLevelType w:val="hybridMultilevel"/>
    <w:lvl w:ilvl="0">
      <w:lvlJc w:val="left"/>
      <w:lvlText w:val="и"/>
      <w:numFmt w:val="bullet"/>
      <w:start w:val="1"/>
    </w:lvl>
    <w:lvl w:ilvl="1">
      <w:lvlJc w:val="left"/>
      <w:lvlText w:val="-"/>
      <w:numFmt w:val="bullet"/>
      <w:start w:val="1"/>
    </w:lvl>
  </w:abstractNum>
  <w:abstractNum w:abstractNumId="2">
    <w:nsid w:val="6DF1"/>
    <w:multiLevelType w:val="hybridMultilevel"/>
    <w:lvl w:ilvl="0">
      <w:lvlJc w:val="left"/>
      <w:lvlText w:val="и"/>
      <w:numFmt w:val="bullet"/>
      <w:start w:val="1"/>
    </w:lvl>
    <w:lvl w:ilvl="1">
      <w:lvlJc w:val="left"/>
      <w:lvlText w:val="В"/>
      <w:numFmt w:val="bullet"/>
      <w:start w:val="1"/>
    </w:lvl>
  </w:abstractNum>
  <w:abstractNum w:abstractNumId="3">
    <w:nsid w:val="5AF1"/>
    <w:multiLevelType w:val="hybridMultilevel"/>
    <w:lvl w:ilvl="0">
      <w:lvlJc w:val="left"/>
      <w:lvlText w:val="В"/>
      <w:numFmt w:val="bullet"/>
      <w:start w:val="1"/>
    </w:lvl>
  </w:abstractNum>
  <w:abstractNum w:abstractNumId="4">
    <w:nsid w:val="41BB"/>
    <w:multiLevelType w:val="hybridMultilevel"/>
    <w:lvl w:ilvl="0">
      <w:lvlJc w:val="left"/>
      <w:lvlText w:val="в"/>
      <w:numFmt w:val="bullet"/>
      <w:start w:val="1"/>
    </w:lvl>
    <w:lvl w:ilvl="1">
      <w:lvlJc w:val="left"/>
      <w:lvlText w:val="%2)"/>
      <w:numFmt w:val="decimal"/>
      <w:start w:val="1"/>
    </w:lvl>
  </w:abstractNum>
  <w:abstractNum w:abstractNumId="5">
    <w:nsid w:val="26E9"/>
    <w:multiLevelType w:val="hybridMultilevel"/>
    <w:lvl w:ilvl="0">
      <w:lvlJc w:val="left"/>
      <w:lvlText w:val="В"/>
      <w:numFmt w:val="bullet"/>
      <w:start w:val="1"/>
    </w:lvl>
  </w:abstractNum>
  <w:abstractNum w:abstractNumId="6">
    <w:nsid w:val="1EB"/>
    <w:multiLevelType w:val="hybridMultilevel"/>
    <w:lvl w:ilvl="0">
      <w:lvlJc w:val="left"/>
      <w:lvlText w:val="%1)"/>
      <w:numFmt w:val="decimal"/>
      <w:start w:val="7"/>
    </w:lvl>
  </w:abstractNum>
  <w:abstractNum w:abstractNumId="7">
    <w:nsid w:val="BB3"/>
    <w:multiLevelType w:val="hybridMultilevel"/>
    <w:lvl w:ilvl="0">
      <w:lvlJc w:val="left"/>
      <w:lvlText w:val="в"/>
      <w:numFmt w:val="bullet"/>
      <w:start w:val="1"/>
    </w:lvl>
    <w:lvl w:ilvl="1">
      <w:lvlJc w:val="left"/>
      <w:lvlText w:val="В"/>
      <w:numFmt w:val="bullet"/>
      <w:start w:val="1"/>
    </w:lvl>
  </w:abstractNum>
  <w:abstractNum w:abstractNumId="8">
    <w:nsid w:val="2EA6"/>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
  <Relationship Id="rId3" Type="http://schemas.openxmlformats.org/officeDocument/2006/relationships/settings" Target="settings.xml" />
  <Relationship Id="rId1" Type="http://schemas.openxmlformats.org/officeDocument/2006/relationships/styles" Target="styles.xml" />
  <Relationship Id="rId5" Type="http://schemas.openxmlformats.org/officeDocument/2006/relationships/fontTable" Target="fontTable.xml" />
  <Relationship Id="rId4" Type="http://schemas.openxmlformats.org/officeDocument/2006/relationships/webSettings" Target="webSettings.xml" />
  <Relationship Id="rId7" Type="http://schemas.openxmlformats.org/officeDocument/2006/relationships/numbering" Target="numbering.xml" />
  <Relationship Id="rId8" Type="http://schemas.openxmlformats.org/officeDocument/2006/relationships/image" Target="media/image1.jpeg" />
  <Relationship Id="rId11" Type="http://schemas.openxmlformats.org/officeDocument/2006/relationships/image" Target="media/image2.jpeg" />
  <Relationship Id="rId12" Type="http://schemas.openxmlformats.org/officeDocument/2006/relationships/image" Target="media/image3.jpeg" />
  <Relationship Id="rId13" Type="http://schemas.openxmlformats.org/officeDocument/2006/relationships/image" Target="media/image4.jpeg" />
  <Relationship Id="rId14" Type="http://schemas.openxmlformats.org/officeDocument/2006/relationships/image" Target="media/image5.jpeg" />
  <Relationship Id="rId15" Type="http://schemas.openxmlformats.org/officeDocument/2006/relationships/image" Target="media/image6.jpeg" />
  <Relationship Id="rId16" Type="http://schemas.openxmlformats.org/officeDocument/2006/relationships/image" Target="media/image7.jpeg" />
  <Relationship Id="rId17" Type="http://schemas.openxmlformats.org/officeDocument/2006/relationships/image" Target="media/image8.jpeg" />
  <Relationship Id="rId18" Type="http://schemas.openxmlformats.org/officeDocument/2006/relationships/image" Target="media/image9.jpeg" />
  <Relationship Id="rId19" Type="http://schemas.openxmlformats.org/officeDocument/2006/relationships/image" Target="media/image10.jpeg" />
  <Relationship Id="rId20" Type="http://schemas.openxmlformats.org/officeDocument/2006/relationships/image" Target="media/image11.jpeg" />
  <Relationship Id="rId21" Type="http://schemas.openxmlformats.org/officeDocument/2006/relationships/image" Target="media/image12.jpeg" />
  <Relationship Id="rId22" Type="http://schemas.openxmlformats.org/officeDocument/2006/relationships/image" Target="media/image13.jpeg" />
  <Relationship Id="rId23" Type="http://schemas.openxmlformats.org/officeDocument/2006/relationships/image" Target="media/image14.jpeg" />
  <Relationship Id="rId24" Type="http://schemas.openxmlformats.org/officeDocument/2006/relationships/image" Target="media/image15.jpeg" />
  <Relationship Id="rId25" Type="http://schemas.openxmlformats.org/officeDocument/2006/relationships/image" Target="media/image16.jpeg" />
  <Relationship Id="rId26" Type="http://schemas.openxmlformats.org/officeDocument/2006/relationships/image" Target="media/image17.jpeg" />
  <Relationship Id="rId27" Type="http://schemas.openxmlformats.org/officeDocument/2006/relationships/image" Target="media/image18.jpeg" />
</Relationships>
</file>

<file path=docProps/app.xml><?xml version="1.0" encoding="utf-8"?>
<ap:Properties xmlns:vt="http://schemas.openxmlformats.org/officeDocument/2006/docPropsVTypes" xmlns:ap="http://schemas.openxmlformats.org/officeDocument/2006/extended-properties">
  <ap:Template>Normal.dotm</ap:Template>
  <ap:TotalTime>0</ap:TotalTime>
  <ap:Pages>1</ap:Pages>
  <ap:Words>0</ap:Words>
  <ap:Characters>3</ap:Characters>
  <ap:Application/>
  <ap:DocSecurity>0</ap:DocSecurity>
  <ap:Lines>1</ap:Lines>
  <ap:Paragraphs>1</ap:Paragraphs>
  <ap:ScaleCrop>false</ap:ScaleCrop>
  <ap:HeadingPairs>
    <vt:vector baseType="variant" size="2">
      <vt:variant>
        <vt:lpstr>Title</vt:lpstr>
      </vt:variant>
      <vt:variant>
        <vt:i4>1</vt:i4>
      </vt:variant>
    </vt:vector>
  </ap:HeadingPairs>
  <ap:TitlesOfParts>
    <vt:vector baseType="lpstr" size="1">
      <vt:lpstr/>
    </vt:vector>
  </ap:TitlesOfParts>
  <ap:Company/>
  <ap:LinksUpToDate>false</ap:LinksUpToDate>
  <ap:CharactersWithSpaces>3</ap:CharactersWithSpaces>
  <ap:SharedDoc>false</ap:SharedDoc>
  <ap:HyperlinksChanged>false</ap:HyperlinksChanged>
  <ap:AppVersion>1.0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2019-03-28T16:30:21Z</dcterms:created>
  <dcterms:modified xsi:type="dcterms:W3CDTF">2019-03-28T16:30:21Z</dcterms:modified>
</cp:coreProperties>
</file>

<file path=docProps/custom.xml><?xml version="1.0" encoding="utf-8"?>
<Properties xmlns:vt="http://schemas.openxmlformats.org/officeDocument/2006/docPropsVTypes" xmlns="http://schemas.openxmlformats.org/officeDocument/2006/custom-properties"/>
</file>